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Austausch der bestehenden Antennenanlage, mit Leistungserhöhung und Inbetriebnahme neuer Frequenzen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https://smart.olmero.ch/sales/my-projects/1464632?set_client_id=26509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