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Démolition partielle du balcon existant en façade Sud et construction d'une nouvelle terrasse.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0.35 mil. SFr Construction start Feb 2026 ‍ Planning/detailed stage Building application submitted ‍ DEL NIN Melody 2740 Moutier Promoter. 24 Nov 2025 Ced renov immo Sàrl 2853 Courfaivre Architect.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https://smart.olmero.ch/sales/my-projects/1468764?set_client_id=26509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