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Ausbau des Dachgeschosses durch isolieren der Aussenwände und Dachflächen, Einbau von Fenstern und einem Holzofen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Dominik Bürgi und Susanna Neuenschwander 3672 Oberdiessbach Promoter. 21 Nov 2025 ‍ Dominik Bürgi Promoter ‍ Susanna Neuenschwander Promoter Christian Breitenstein 3600 Thun Architect. 21 Nov 2025 ‍ Christian Breitenstein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https://smart.olmero.ch/sales/my-projects/1467669?set_client_id=26509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