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Ausbau des Dachgeschosses durch isolieren der Aussenwände und Dachflächen, Einbau von Fenstern und einem Holzofen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0.3 mil. SFr Construction start Feb 2026 ‍ Planning/detailed stage Building application submitted ‍ Dominik Bürgi und Susanna Neuenschwander 3672 Oberdiessbach Promoter. 21 Nov 2025 ‍ Dominik Bürgi Promoter ‍ Susanna Neuenschwander Promoter Christian Breitenstein 3600 Thun Architect. 21 Nov 2025 ‍ Christian Breitenstein Architect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https://smart.olmero.ch/sales/my-projects/1467669?set_client_id=26509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