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Abbruch und Ersatzneubau Wohnhaus mit Carport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1.5 mil. SFr Construction start Feb 2026 ‍ Planning/detailed stage Planning application - Early Info ‍ Peter Keiser 54411 Hermeskeil Promoter. 21 Nov 2025 ‍ Peter Keiser Promoter Zahler GmbH Planung - Energie- Oekonomie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https://smart.olmero.ch/sales/my-projects/1467705?set_client_id=26509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