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a) Energetische Sanierungb) Ersatz Ölheizung durch aussenaufgestellte Luft-Wasser-Wärmepumpec) Ersatz und Wiederaufbau der zwei Balkone</w:t>
      </w:r>
    </w:p>
    <w:p>
      <w:r>
        <w:t xml:space="preserve">Source: OLMERO_EMAIL</w:t>
      </w:r>
    </w:p>
    <w:p>
      <w:r>
        <w:t xml:space="preserve">Published: 2025-11-21 07:06:47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0.04 mil. SFr Construction start Feb 2026 ‍ Planning/detailed stage Building application submitted ‍ Marc Meyer 2564 Bellmund Promoter. 20 Nov 2025 Dietziker | Architekt: en GmbH Architect. 20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https://smart.olmero.ch/sales/my-projects/1467231?set_client_id=26509</w:t>
      </w:r>
    </w:p>
    <w:p>
      <w:r>
        <w:t xml:space="preserve">Generated at: 2026-06-29 20:26</w:t>
      </w:r>
    </w:p>
  </w:body>
</w:document>
</file>

<file path=word/_rels/document.xml.rels><?xml version="1.0" encoding="UTF-8"?>
<Relationships xmlns="http://schemas.openxmlformats.org/package/2006/relationships"/>
</file>