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) Energetische Sanierungb) Ersatz Ölheizung durch aussenaufgestellte Luft-Wasser-Wärmepumpec) Ersatz und Wiederaufbau der zwei Balkone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4 mil. SFr Construction start Feb 2026 ‍ Planning/detailed stage Building application submitted ‍ Marc Meyer 2564 Bellmund Promoter. 20 Nov 2025 Dietziker | Architekt: en GmbH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231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