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a) Energetische Sanierungb) Ersatz Ölheizung durch aussenaufgestellte Luft-Wasser-Wärmepumpec) Ersatz und Wiederaufbau der zwei Balkone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0.04 mil. SFr Construction start Feb 2026 ‍ Planning/detailed stage Building application submitted ‍ Marc Meyer 2564 Bellmund Promoter. 20 Nov 2025 Dietziker | Architekt: en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https://smart.olmero.ch/sales/my-projects/1467231?set_client_id=26509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