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achträgliche ordentliche Bewilligung und Ersatz der bestehenden adaptiven Mobilfunkantennen (mit Korrekturfaktor) / BE340-6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Sunrise GMmbH und Swisscom (Schweiz ) AG p.A Sunrise GmbH 8152 Glattpark (Opfikon) Promoter. 20 Nov 2025 Cablex AG 3073 Gümligen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97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