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Nachträgliche ordentliche Bewilligung und Ersatz der bestehenden adaptiven Mobilfunkantennen (mit Korrekturfaktor) / BE340-6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Feb 2026 ‍ Planning/detailed stage Planning application - Early Info ‍ Sunrise GMmbH und Swisscom (Schweiz ) AG p.A Sunrise GmbH 8152 Glattpark (Opfikon) Promoter. 20 Nov 2025 Cablex AG 3073 Gümligen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https://smart.olmero.ch/sales/my-projects/1467297?set_client_id=26509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