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 ordentliche Bewilligung und Ersatz der bestehenden adaptiven Mobilfunkantennen (mit Korrekturfaktor) / BE340-6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https://smart.olmero.ch/sales/my-projects/1467297?set_client_id=26509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