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’une remise agricole et d’une place en chaille pour le rangement de machines et stockage de fourrage,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8 mil. SFr Construction start Jan 2026 ‍ Planning/detailed stage Building application submitted ‍ François Wüthrich 2333 La Ferrière Promoter. 19 Nov 2025 Jacques Geiser 2333 La Ferrière Architect. 19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109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