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installation de six salles de classe, d’une salle des maîtres,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8 mil. SFr Construction start Jan 2026 ‍ Planning/detailed stage Building application submitted ‍ Municipalité de Courtelary Promoter. 14 Nov 2025 Studiov9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92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