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Umnutzung Arztpraxis in Wohnung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 mil. SFr | Bauherr: . 12 Nov 2025 ‍ | Architekt: en HTL/STV AG | Baustart: Dez 2025 ‍ Planung/detaillierte | Phase: Baugesuch eingereicht ‍ Müller + Partner dipl.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https://smart.olmero.ch/sales/my-projects/1463417?set_client_id=26509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